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9028E7D" w14:textId="77777777" w:rsidR="00954512" w:rsidRDefault="00954512" w:rsidP="00954512">
      <w:pPr>
        <w:spacing w:line="480" w:lineRule="auto"/>
        <w:jc w:val="center"/>
        <w:rPr>
          <w:sz w:val="24"/>
          <w:szCs w:val="24"/>
          <w:lang w:val="en-US"/>
        </w:rPr>
      </w:pPr>
    </w:p>
    <w:p w14:paraId="5D908767" w14:textId="77777777" w:rsidR="00954512" w:rsidRDefault="00954512" w:rsidP="00954512">
      <w:pPr>
        <w:spacing w:line="480" w:lineRule="auto"/>
        <w:jc w:val="center"/>
        <w:rPr>
          <w:sz w:val="24"/>
          <w:szCs w:val="24"/>
          <w:lang w:val="en-US"/>
        </w:rPr>
      </w:pPr>
    </w:p>
    <w:p w14:paraId="0D8E54AA" w14:textId="77777777" w:rsidR="00954512" w:rsidRDefault="00954512" w:rsidP="00954512">
      <w:pPr>
        <w:spacing w:line="480" w:lineRule="auto"/>
        <w:jc w:val="center"/>
        <w:rPr>
          <w:sz w:val="24"/>
          <w:szCs w:val="24"/>
          <w:lang w:val="en-US"/>
        </w:rPr>
      </w:pPr>
    </w:p>
    <w:p w14:paraId="08ED0AE2" w14:textId="77777777" w:rsidR="00954512" w:rsidRDefault="00954512" w:rsidP="00954512">
      <w:pPr>
        <w:spacing w:line="480" w:lineRule="auto"/>
        <w:jc w:val="center"/>
        <w:rPr>
          <w:sz w:val="24"/>
          <w:szCs w:val="24"/>
          <w:lang w:val="en-US"/>
        </w:rPr>
      </w:pPr>
    </w:p>
    <w:p w14:paraId="5F402D59" w14:textId="77777777" w:rsidR="00954512" w:rsidRDefault="00954512" w:rsidP="00954512">
      <w:pPr>
        <w:spacing w:line="480" w:lineRule="auto"/>
        <w:jc w:val="center"/>
        <w:rPr>
          <w:sz w:val="24"/>
          <w:szCs w:val="24"/>
          <w:lang w:val="en-US"/>
        </w:rPr>
      </w:pPr>
    </w:p>
    <w:p w14:paraId="152DA4D5" w14:textId="77777777" w:rsidR="00954512" w:rsidRDefault="00954512" w:rsidP="00954512">
      <w:pPr>
        <w:spacing w:line="480" w:lineRule="auto"/>
        <w:jc w:val="center"/>
        <w:rPr>
          <w:sz w:val="24"/>
          <w:szCs w:val="24"/>
          <w:lang w:val="en-US"/>
        </w:rPr>
      </w:pPr>
    </w:p>
    <w:p w14:paraId="47BE18DF" w14:textId="77777777" w:rsidR="00954512" w:rsidRDefault="00954512" w:rsidP="00954512">
      <w:pPr>
        <w:spacing w:line="480" w:lineRule="auto"/>
        <w:jc w:val="center"/>
        <w:rPr>
          <w:sz w:val="24"/>
          <w:szCs w:val="24"/>
          <w:lang w:val="en-US"/>
        </w:rPr>
      </w:pPr>
    </w:p>
    <w:p w14:paraId="0E9DABFA" w14:textId="13192C1D" w:rsidR="00954512" w:rsidRDefault="001255FC" w:rsidP="00954512">
      <w:pPr>
        <w:spacing w:line="480" w:lineRule="auto"/>
        <w:jc w:val="center"/>
        <w:rPr>
          <w:sz w:val="24"/>
          <w:szCs w:val="24"/>
          <w:lang w:val="en-US"/>
        </w:rPr>
      </w:pPr>
      <w:r w:rsidRPr="00954512">
        <w:rPr>
          <w:sz w:val="24"/>
          <w:szCs w:val="24"/>
          <w:lang w:val="en-US"/>
        </w:rPr>
        <w:t>Spanish Influenz</w:t>
      </w:r>
      <w:r w:rsidR="00954512">
        <w:rPr>
          <w:sz w:val="24"/>
          <w:szCs w:val="24"/>
          <w:lang w:val="en-US"/>
        </w:rPr>
        <w:t>a</w:t>
      </w:r>
    </w:p>
    <w:p w14:paraId="45025BA4" w14:textId="77777777" w:rsidR="00954512" w:rsidRDefault="00954512" w:rsidP="00954512">
      <w:pPr>
        <w:spacing w:line="480" w:lineRule="auto"/>
        <w:jc w:val="center"/>
        <w:rPr>
          <w:sz w:val="24"/>
          <w:szCs w:val="24"/>
        </w:rPr>
      </w:pPr>
    </w:p>
    <w:p w14:paraId="2DD836B8" w14:textId="2A84D594" w:rsidR="00954512" w:rsidRDefault="001255FC" w:rsidP="00954512">
      <w:pPr>
        <w:spacing w:line="480" w:lineRule="auto"/>
        <w:jc w:val="center"/>
        <w:rPr>
          <w:sz w:val="24"/>
          <w:szCs w:val="24"/>
          <w:lang w:val="en-US"/>
        </w:rPr>
      </w:pPr>
      <w:r w:rsidRPr="00954512">
        <w:rPr>
          <w:sz w:val="24"/>
          <w:szCs w:val="24"/>
        </w:rPr>
        <w:t>Name of the Student</w:t>
      </w:r>
    </w:p>
    <w:p w14:paraId="19450C14" w14:textId="77777777" w:rsidR="00954512" w:rsidRDefault="001255FC" w:rsidP="00954512">
      <w:pPr>
        <w:spacing w:line="480" w:lineRule="auto"/>
        <w:jc w:val="center"/>
        <w:rPr>
          <w:sz w:val="24"/>
          <w:szCs w:val="24"/>
          <w:lang w:val="en-US"/>
        </w:rPr>
      </w:pPr>
      <w:r w:rsidRPr="00954512">
        <w:rPr>
          <w:sz w:val="24"/>
          <w:szCs w:val="24"/>
        </w:rPr>
        <w:t>Department of Education, Institution</w:t>
      </w:r>
    </w:p>
    <w:p w14:paraId="5BB1F515" w14:textId="77777777" w:rsidR="00954512" w:rsidRDefault="001255FC" w:rsidP="00954512">
      <w:pPr>
        <w:spacing w:line="480" w:lineRule="auto"/>
        <w:jc w:val="center"/>
        <w:rPr>
          <w:sz w:val="24"/>
          <w:szCs w:val="24"/>
          <w:lang w:val="en-US"/>
        </w:rPr>
      </w:pPr>
      <w:r w:rsidRPr="00954512">
        <w:rPr>
          <w:sz w:val="24"/>
          <w:szCs w:val="24"/>
        </w:rPr>
        <w:t>Course Number, Course Title</w:t>
      </w:r>
    </w:p>
    <w:p w14:paraId="1FC6D923" w14:textId="77777777" w:rsidR="00954512" w:rsidRDefault="001255FC" w:rsidP="00954512">
      <w:pPr>
        <w:spacing w:line="480" w:lineRule="auto"/>
        <w:jc w:val="center"/>
        <w:rPr>
          <w:sz w:val="24"/>
          <w:szCs w:val="24"/>
          <w:lang w:val="en-US"/>
        </w:rPr>
      </w:pPr>
      <w:r w:rsidRPr="00954512">
        <w:rPr>
          <w:sz w:val="24"/>
          <w:szCs w:val="24"/>
        </w:rPr>
        <w:t>Name of the Instructor</w:t>
      </w:r>
    </w:p>
    <w:p w14:paraId="46685DB7" w14:textId="7E7669D4" w:rsidR="00757E4B" w:rsidRPr="00954512" w:rsidRDefault="001255FC" w:rsidP="00954512">
      <w:pPr>
        <w:spacing w:line="480" w:lineRule="auto"/>
        <w:jc w:val="center"/>
        <w:rPr>
          <w:sz w:val="24"/>
          <w:szCs w:val="24"/>
          <w:lang w:val="en-US"/>
        </w:rPr>
      </w:pPr>
      <w:r w:rsidRPr="00954512">
        <w:rPr>
          <w:sz w:val="24"/>
          <w:szCs w:val="24"/>
        </w:rPr>
        <w:t>Date</w:t>
      </w:r>
    </w:p>
    <w:p w14:paraId="2CE005E1" w14:textId="77777777" w:rsidR="00757E4B" w:rsidRPr="00954512" w:rsidRDefault="00757E4B" w:rsidP="00954512">
      <w:pPr>
        <w:spacing w:line="480" w:lineRule="auto"/>
        <w:jc w:val="both"/>
        <w:rPr>
          <w:sz w:val="24"/>
          <w:szCs w:val="24"/>
        </w:rPr>
      </w:pPr>
    </w:p>
    <w:p w14:paraId="294E5EC2" w14:textId="77777777" w:rsidR="00757E4B" w:rsidRPr="00954512" w:rsidRDefault="00757E4B" w:rsidP="00954512">
      <w:pPr>
        <w:spacing w:line="480" w:lineRule="auto"/>
        <w:jc w:val="both"/>
        <w:rPr>
          <w:sz w:val="24"/>
          <w:szCs w:val="24"/>
        </w:rPr>
      </w:pPr>
    </w:p>
    <w:p w14:paraId="3E960009" w14:textId="77777777" w:rsidR="00757E4B" w:rsidRPr="00954512" w:rsidRDefault="00757E4B" w:rsidP="00954512">
      <w:pPr>
        <w:spacing w:line="480" w:lineRule="auto"/>
        <w:jc w:val="both"/>
        <w:rPr>
          <w:sz w:val="24"/>
          <w:szCs w:val="24"/>
        </w:rPr>
      </w:pPr>
    </w:p>
    <w:p w14:paraId="1B8C1EA8" w14:textId="77777777" w:rsidR="00757E4B" w:rsidRPr="00954512" w:rsidRDefault="00757E4B" w:rsidP="00954512">
      <w:pPr>
        <w:spacing w:line="480" w:lineRule="auto"/>
        <w:jc w:val="both"/>
        <w:rPr>
          <w:sz w:val="24"/>
          <w:szCs w:val="24"/>
        </w:rPr>
      </w:pPr>
    </w:p>
    <w:p w14:paraId="6980CE26" w14:textId="77777777" w:rsidR="00757E4B" w:rsidRPr="00954512" w:rsidRDefault="00757E4B" w:rsidP="00954512">
      <w:pPr>
        <w:spacing w:line="480" w:lineRule="auto"/>
        <w:jc w:val="both"/>
        <w:rPr>
          <w:sz w:val="24"/>
          <w:szCs w:val="24"/>
        </w:rPr>
      </w:pPr>
    </w:p>
    <w:p w14:paraId="0D716DB6" w14:textId="77777777" w:rsidR="00757E4B" w:rsidRPr="00954512" w:rsidRDefault="00757E4B" w:rsidP="00954512">
      <w:pPr>
        <w:spacing w:line="480" w:lineRule="auto"/>
        <w:jc w:val="both"/>
        <w:rPr>
          <w:sz w:val="24"/>
          <w:szCs w:val="24"/>
        </w:rPr>
      </w:pPr>
    </w:p>
    <w:p w14:paraId="6B131FA0" w14:textId="77777777" w:rsidR="00954512" w:rsidRDefault="00954512">
      <w:pPr>
        <w:rPr>
          <w:sz w:val="24"/>
          <w:szCs w:val="24"/>
          <w:lang w:val="en-US"/>
        </w:rPr>
      </w:pPr>
      <w:r>
        <w:rPr>
          <w:sz w:val="24"/>
          <w:szCs w:val="24"/>
          <w:lang w:val="en-US"/>
        </w:rPr>
        <w:br w:type="page"/>
      </w:r>
    </w:p>
    <w:p w14:paraId="3CF68D2F" w14:textId="77777777" w:rsidR="00954512" w:rsidRPr="00954512" w:rsidRDefault="001255FC" w:rsidP="00954512">
      <w:pPr>
        <w:spacing w:line="480" w:lineRule="auto"/>
        <w:jc w:val="center"/>
        <w:rPr>
          <w:b/>
          <w:bCs/>
          <w:sz w:val="24"/>
          <w:szCs w:val="24"/>
          <w:lang w:val="en-US"/>
        </w:rPr>
      </w:pPr>
      <w:r w:rsidRPr="00954512">
        <w:rPr>
          <w:b/>
          <w:bCs/>
          <w:sz w:val="24"/>
          <w:szCs w:val="24"/>
          <w:lang w:val="en-US"/>
        </w:rPr>
        <w:t>Spanish Influenza</w:t>
      </w:r>
    </w:p>
    <w:p w14:paraId="5CA00003" w14:textId="608186E2" w:rsidR="00954512" w:rsidRDefault="001255FC" w:rsidP="00954512">
      <w:pPr>
        <w:spacing w:line="480" w:lineRule="auto"/>
        <w:ind w:firstLine="720"/>
        <w:jc w:val="both"/>
        <w:rPr>
          <w:sz w:val="24"/>
          <w:szCs w:val="24"/>
          <w:lang w:val="en-US"/>
        </w:rPr>
      </w:pPr>
      <w:r w:rsidRPr="00954512">
        <w:rPr>
          <w:sz w:val="24"/>
          <w:szCs w:val="24"/>
        </w:rPr>
        <w:t xml:space="preserve">In 1918, what became known as the Spanish Flu began to spread. </w:t>
      </w:r>
      <w:r w:rsidR="00FE1A2A" w:rsidRPr="00FE1A2A">
        <w:rPr>
          <w:sz w:val="24"/>
          <w:szCs w:val="24"/>
        </w:rPr>
        <w:t>This is not because it originated in Spain, but rather because Spain, as a neutral state in the continuing European conflict, lacked the kind of control over its media that belligerent powers possessed. Newspapers in Spain were permitted to report on the disease's fast spread, which claimed thousands of lives. Spain's king died of influenza in the summer of 1918</w:t>
      </w:r>
      <w:r w:rsidRPr="00954512">
        <w:rPr>
          <w:sz w:val="24"/>
          <w:szCs w:val="24"/>
        </w:rPr>
        <w:t>, cementing the epidemic's association with Spain in the popular imagination</w:t>
      </w:r>
      <w:r w:rsidR="00954512">
        <w:rPr>
          <w:sz w:val="24"/>
          <w:szCs w:val="24"/>
          <w:lang w:val="en-US"/>
        </w:rPr>
        <w:t xml:space="preserve"> (</w:t>
      </w:r>
      <w:r w:rsidR="00954512" w:rsidRPr="00954512">
        <w:rPr>
          <w:sz w:val="24"/>
          <w:szCs w:val="24"/>
          <w:shd w:val="clear" w:color="auto" w:fill="FFFFFF"/>
        </w:rPr>
        <w:t xml:space="preserve">Baker, </w:t>
      </w:r>
      <w:r w:rsidR="00954512">
        <w:rPr>
          <w:sz w:val="24"/>
          <w:szCs w:val="24"/>
          <w:shd w:val="clear" w:color="auto" w:fill="FFFFFF"/>
          <w:lang w:val="en-US"/>
        </w:rPr>
        <w:t xml:space="preserve">et al., </w:t>
      </w:r>
      <w:r w:rsidR="00954512" w:rsidRPr="00954512">
        <w:rPr>
          <w:sz w:val="24"/>
          <w:szCs w:val="24"/>
          <w:shd w:val="clear" w:color="auto" w:fill="FFFFFF"/>
        </w:rPr>
        <w:t xml:space="preserve">2020). </w:t>
      </w:r>
      <w:r w:rsidRPr="00954512">
        <w:rPr>
          <w:sz w:val="24"/>
          <w:szCs w:val="24"/>
        </w:rPr>
        <w:t>This essay will examine the behaviors of individuals and governments and the extent to which their activities demonstrated or did not demonstrate personal responsibility.</w:t>
      </w:r>
    </w:p>
    <w:p w14:paraId="75DA46AD" w14:textId="77777777" w:rsidR="00FE1A2A" w:rsidRDefault="00FE1A2A" w:rsidP="00954512">
      <w:pPr>
        <w:spacing w:line="480" w:lineRule="auto"/>
        <w:ind w:firstLine="720"/>
        <w:jc w:val="both"/>
        <w:rPr>
          <w:sz w:val="24"/>
          <w:szCs w:val="24"/>
        </w:rPr>
      </w:pPr>
      <w:r w:rsidRPr="00FE1A2A">
        <w:rPr>
          <w:sz w:val="24"/>
          <w:szCs w:val="24"/>
        </w:rPr>
        <w:t>When the influenza epidemic of 1918–1919 hit the United States, the American Red Cross played a key role</w:t>
      </w:r>
      <w:r w:rsidR="00954512">
        <w:rPr>
          <w:sz w:val="24"/>
          <w:szCs w:val="24"/>
          <w:lang w:val="en-US"/>
        </w:rPr>
        <w:t xml:space="preserve"> (</w:t>
      </w:r>
      <w:r w:rsidR="00954512" w:rsidRPr="00954512">
        <w:rPr>
          <w:sz w:val="24"/>
          <w:szCs w:val="24"/>
          <w:shd w:val="clear" w:color="auto" w:fill="FFFFFF"/>
        </w:rPr>
        <w:t xml:space="preserve">Jones, 2010). </w:t>
      </w:r>
      <w:r w:rsidRPr="00FE1A2A">
        <w:rPr>
          <w:sz w:val="24"/>
          <w:szCs w:val="24"/>
        </w:rPr>
        <w:t>The ARC transferred patients, health care providers, and deceased bodies, and assistance was provided to the families of influenza fatalities. Responding to the 1918 influenza outbreak was a priority for the American Recovery and Reinvestment Act (ARC). In some communities, the ARC had a considerable impact on public health infrastructure; in others, it had a far more limited impact</w:t>
      </w:r>
      <w:r>
        <w:rPr>
          <w:sz w:val="24"/>
          <w:szCs w:val="24"/>
          <w:lang w:val="en-US"/>
        </w:rPr>
        <w:t xml:space="preserve"> </w:t>
      </w:r>
      <w:r w:rsidR="00954512">
        <w:rPr>
          <w:sz w:val="24"/>
          <w:szCs w:val="24"/>
          <w:lang w:val="en-US"/>
        </w:rPr>
        <w:t>(</w:t>
      </w:r>
      <w:r w:rsidR="00954512" w:rsidRPr="00954512">
        <w:rPr>
          <w:sz w:val="24"/>
          <w:szCs w:val="24"/>
          <w:shd w:val="clear" w:color="auto" w:fill="FFFFFF"/>
        </w:rPr>
        <w:t xml:space="preserve">Dicke, 2015). </w:t>
      </w:r>
      <w:r w:rsidR="001255FC" w:rsidRPr="00954512">
        <w:rPr>
          <w:sz w:val="24"/>
          <w:szCs w:val="24"/>
        </w:rPr>
        <w:t xml:space="preserve"> </w:t>
      </w:r>
      <w:r w:rsidRPr="00FE1A2A">
        <w:rPr>
          <w:sz w:val="24"/>
          <w:szCs w:val="24"/>
        </w:rPr>
        <w:t>The Boston chapter of the Red Cross was the first to respond when the epidemic broke out. As early as mid-August 1918, cases were detected among sailors in Boston Harbor, and the Boston chapter began supplying nurses to military and civilian hospitals by early September. It was decided that 500 nurses from the Northeast United States and Canada would work in New England. The Boston branch of the American Red Cross reassigned its wartime volunteers to influenza-related tasks. Gauze masks for patients were produced by volunteers who had previously been making surgical dressings for the military.</w:t>
      </w:r>
    </w:p>
    <w:p w14:paraId="06D9494F" w14:textId="64972E0B" w:rsidR="00954512" w:rsidRDefault="00FE1A2A" w:rsidP="00954512">
      <w:pPr>
        <w:spacing w:line="480" w:lineRule="auto"/>
        <w:ind w:firstLine="720"/>
        <w:jc w:val="both"/>
        <w:rPr>
          <w:sz w:val="24"/>
          <w:szCs w:val="24"/>
          <w:lang w:val="en-US"/>
        </w:rPr>
      </w:pPr>
      <w:r w:rsidRPr="00FE1A2A">
        <w:rPr>
          <w:sz w:val="24"/>
          <w:szCs w:val="24"/>
        </w:rPr>
        <w:t>Similarly, motor corps volunteers delivered meals to the houses of the sick and provided 35 cars each day to transport nurses to the sick. More than 1,150 meals were provided to patients, and 72 meals were provided to nurses in Needham, Massachusetts, by volunteers in a kitchen set up over 12 days</w:t>
      </w:r>
      <w:r>
        <w:rPr>
          <w:sz w:val="24"/>
          <w:szCs w:val="24"/>
          <w:lang w:val="en-US"/>
        </w:rPr>
        <w:t xml:space="preserve"> </w:t>
      </w:r>
      <w:r w:rsidR="00954512">
        <w:rPr>
          <w:sz w:val="24"/>
          <w:szCs w:val="24"/>
          <w:lang w:val="en-US"/>
        </w:rPr>
        <w:t>(</w:t>
      </w:r>
      <w:r w:rsidR="00954512" w:rsidRPr="00954512">
        <w:rPr>
          <w:sz w:val="24"/>
          <w:szCs w:val="24"/>
          <w:shd w:val="clear" w:color="auto" w:fill="FFFFFF"/>
        </w:rPr>
        <w:t xml:space="preserve">Jones, 2010). </w:t>
      </w:r>
      <w:r w:rsidR="001255FC" w:rsidRPr="00954512">
        <w:rPr>
          <w:sz w:val="24"/>
          <w:szCs w:val="24"/>
        </w:rPr>
        <w:t>Thus, the Boston Red Cross was compelled to intervene before organizing a national response to the influenza outbreak. ARC had a long history of providing emergency social services to catastrophe victims, assisting them in reclaiming their "comforts" at home, or securing temporary work.</w:t>
      </w:r>
    </w:p>
    <w:p w14:paraId="09C2ECB6" w14:textId="24ADE5D0" w:rsidR="00954512" w:rsidRDefault="00FE1A2A" w:rsidP="00954512">
      <w:pPr>
        <w:spacing w:line="480" w:lineRule="auto"/>
        <w:ind w:firstLine="720"/>
        <w:jc w:val="both"/>
        <w:rPr>
          <w:sz w:val="24"/>
          <w:szCs w:val="24"/>
          <w:lang w:val="en-US"/>
        </w:rPr>
      </w:pPr>
      <w:r w:rsidRPr="00FE1A2A">
        <w:rPr>
          <w:sz w:val="24"/>
          <w:szCs w:val="24"/>
        </w:rPr>
        <w:t>An influenza committee decided to gather hospital supplies, ensure fair prices and proper distribution of drugs, develop a strategy for recruiting and allocating nurses, provide transportation via its motor corps, and purchase caskets and gravediggers</w:t>
      </w:r>
      <w:r>
        <w:rPr>
          <w:sz w:val="24"/>
          <w:szCs w:val="24"/>
          <w:lang w:val="en-US"/>
        </w:rPr>
        <w:t xml:space="preserve"> </w:t>
      </w:r>
      <w:r w:rsidR="00954512">
        <w:rPr>
          <w:sz w:val="24"/>
          <w:szCs w:val="24"/>
          <w:lang w:val="en-US"/>
        </w:rPr>
        <w:t>(</w:t>
      </w:r>
      <w:r w:rsidR="00954512" w:rsidRPr="00954512">
        <w:rPr>
          <w:sz w:val="24"/>
          <w:szCs w:val="24"/>
          <w:shd w:val="clear" w:color="auto" w:fill="FFFFFF"/>
        </w:rPr>
        <w:t>Martini</w:t>
      </w:r>
      <w:r w:rsidR="00954512">
        <w:rPr>
          <w:sz w:val="24"/>
          <w:szCs w:val="24"/>
          <w:shd w:val="clear" w:color="auto" w:fill="FFFFFF"/>
          <w:lang w:val="en-US"/>
        </w:rPr>
        <w:t xml:space="preserve">et al., </w:t>
      </w:r>
      <w:r w:rsidR="00954512" w:rsidRPr="00954512">
        <w:rPr>
          <w:sz w:val="24"/>
          <w:szCs w:val="24"/>
          <w:shd w:val="clear" w:color="auto" w:fill="FFFFFF"/>
        </w:rPr>
        <w:t xml:space="preserve">2019). </w:t>
      </w:r>
      <w:r w:rsidRPr="00FE1A2A">
        <w:rPr>
          <w:sz w:val="24"/>
          <w:szCs w:val="24"/>
        </w:rPr>
        <w:t>Due to a lack of coffins, hundreds of people in Philadelphia remained unburied as of October 14th. On the other hand, the Pittsburgh chapter worked to get medical supplies, drugs, and vaccines for the city while volunteers made gauze masks for hospital employees. There were 70 graduate nurses, 40 practical nurses, and 172 aides and assistants sent by this chapter to Allegheny County's emergency facilities</w:t>
      </w:r>
      <w:r>
        <w:rPr>
          <w:sz w:val="24"/>
          <w:szCs w:val="24"/>
          <w:lang w:val="en-US"/>
        </w:rPr>
        <w:t xml:space="preserve">. </w:t>
      </w:r>
      <w:r w:rsidR="001255FC" w:rsidRPr="00954512">
        <w:rPr>
          <w:sz w:val="24"/>
          <w:szCs w:val="24"/>
        </w:rPr>
        <w:t>Additionally, these employees cared for 12,000 patients who could not leave their homes and volunteered at neighborhood medical assistance stations. One of the most critical jobs assigned to chapter volunteers was navigating the city's charity agencies to receive emergency care for poor patients.</w:t>
      </w:r>
    </w:p>
    <w:p w14:paraId="29FD8DDB" w14:textId="77777777" w:rsidR="00D74808" w:rsidRDefault="001255FC" w:rsidP="00954512">
      <w:pPr>
        <w:spacing w:line="480" w:lineRule="auto"/>
        <w:ind w:firstLine="720"/>
        <w:jc w:val="both"/>
        <w:rPr>
          <w:sz w:val="24"/>
          <w:szCs w:val="24"/>
        </w:rPr>
      </w:pPr>
      <w:r w:rsidRPr="00954512">
        <w:rPr>
          <w:sz w:val="24"/>
          <w:szCs w:val="24"/>
        </w:rPr>
        <w:t xml:space="preserve">Additionally, the St. Louis ARC branch helped coordinate nurses, supplies, convalescent transportation, and information. </w:t>
      </w:r>
      <w:r w:rsidR="00FE1A2A" w:rsidRPr="00FE1A2A">
        <w:rPr>
          <w:sz w:val="24"/>
          <w:szCs w:val="24"/>
        </w:rPr>
        <w:t>The chapter sent nurses and nursing assistants to Jefferson Barracks and the adjacent hospitals to care for the military men and women. Nurses and aides were also sent to neighboring Missouri communities</w:t>
      </w:r>
      <w:r w:rsidR="00FE1A2A">
        <w:rPr>
          <w:sz w:val="24"/>
          <w:szCs w:val="24"/>
          <w:lang w:val="en-US"/>
        </w:rPr>
        <w:t xml:space="preserve"> </w:t>
      </w:r>
      <w:r w:rsidR="006105F4">
        <w:rPr>
          <w:sz w:val="24"/>
          <w:szCs w:val="24"/>
          <w:lang w:val="en-US"/>
        </w:rPr>
        <w:t>(</w:t>
      </w:r>
      <w:r w:rsidR="00954512" w:rsidRPr="00954512">
        <w:rPr>
          <w:sz w:val="24"/>
          <w:szCs w:val="24"/>
          <w:shd w:val="clear" w:color="auto" w:fill="FFFFFF"/>
        </w:rPr>
        <w:t xml:space="preserve">Humphries, M. O. (2014). </w:t>
      </w:r>
      <w:r w:rsidR="00D74808" w:rsidRPr="00D74808">
        <w:rPr>
          <w:sz w:val="24"/>
          <w:szCs w:val="24"/>
        </w:rPr>
        <w:t>An influenza mask production line was set up by the St. Louis chapter in its surgical dressings plant, and it now supplies nurseries, hospitals, and military camps with masks. Volunteers cooked and served soups, broths, and custards to hospital patients at community kitchens made possible by the US Food and Drug Administration. Additionally, the Southwestern Division's chapters printed 1.2 million influenza prevention pamphlets at the division's headquarters. One pamphlet, translated into several languages, offered simple influenza prevention tips.</w:t>
      </w:r>
    </w:p>
    <w:p w14:paraId="5E8CEC9A" w14:textId="58C0E62E" w:rsidR="00757E4B" w:rsidRPr="00954512" w:rsidRDefault="001255FC" w:rsidP="00954512">
      <w:pPr>
        <w:spacing w:line="480" w:lineRule="auto"/>
        <w:ind w:firstLine="720"/>
        <w:jc w:val="both"/>
        <w:rPr>
          <w:sz w:val="24"/>
          <w:szCs w:val="24"/>
          <w:lang w:val="en-US"/>
        </w:rPr>
      </w:pPr>
      <w:r w:rsidRPr="00954512">
        <w:rPr>
          <w:sz w:val="24"/>
          <w:szCs w:val="24"/>
        </w:rPr>
        <w:t>Similarly, volunteers constructed a free "convalescent cottage" for family. Simultaneously, the city's YWCA organized a public meeting for "all men and women, white and colored," with nursing expertise. Boy Scouts and Campfire Girls identified thousands of cases that had previously gone undetected</w:t>
      </w:r>
      <w:r w:rsidR="00954512">
        <w:rPr>
          <w:sz w:val="24"/>
          <w:szCs w:val="24"/>
          <w:lang w:val="en-US"/>
        </w:rPr>
        <w:t xml:space="preserve"> (</w:t>
      </w:r>
      <w:r w:rsidR="00954512" w:rsidRPr="00954512">
        <w:rPr>
          <w:sz w:val="24"/>
          <w:szCs w:val="24"/>
          <w:shd w:val="clear" w:color="auto" w:fill="FFFFFF"/>
        </w:rPr>
        <w:t xml:space="preserve">Jones, 2010). </w:t>
      </w:r>
      <w:r w:rsidRPr="00954512">
        <w:rPr>
          <w:sz w:val="24"/>
          <w:szCs w:val="24"/>
        </w:rPr>
        <w:t xml:space="preserve">Thus, there is some evidence of personal responsibility in the actions of individuals and governments, and the volunteer sector can play a significant role in distributing resources and linking people to services during a pandemic. It does, however, have limitations, particularly in smaller cities with fewer chapters. </w:t>
      </w:r>
      <w:r w:rsidR="00D74808" w:rsidRPr="00D74808">
        <w:rPr>
          <w:sz w:val="24"/>
          <w:szCs w:val="24"/>
        </w:rPr>
        <w:t>Health officials at the state and local levels and private practitioners are on the front lines of pandemic response.</w:t>
      </w:r>
      <w:r w:rsidR="00D74808">
        <w:rPr>
          <w:sz w:val="24"/>
          <w:szCs w:val="24"/>
          <w:lang w:val="en-US"/>
        </w:rPr>
        <w:t xml:space="preserve"> </w:t>
      </w:r>
      <w:r w:rsidRPr="00954512">
        <w:rPr>
          <w:sz w:val="24"/>
          <w:szCs w:val="24"/>
        </w:rPr>
        <w:t>Voluntary organizations may help fill these gaps, as they did in 1918 during the Spanish-American flu pandemic that lasted from 1875 through the outbreak of World War I.</w:t>
      </w:r>
    </w:p>
    <w:p w14:paraId="5F5DBC97" w14:textId="77777777" w:rsidR="00757E4B" w:rsidRPr="00954512" w:rsidRDefault="00757E4B" w:rsidP="00954512">
      <w:pPr>
        <w:spacing w:line="480" w:lineRule="auto"/>
        <w:ind w:firstLine="720"/>
        <w:contextualSpacing/>
        <w:jc w:val="both"/>
        <w:rPr>
          <w:sz w:val="24"/>
          <w:szCs w:val="24"/>
        </w:rPr>
      </w:pPr>
    </w:p>
    <w:p w14:paraId="2A18D53B" w14:textId="77777777" w:rsidR="00757E4B" w:rsidRPr="00954512" w:rsidRDefault="00757E4B" w:rsidP="00954512">
      <w:pPr>
        <w:spacing w:line="480" w:lineRule="auto"/>
        <w:jc w:val="both"/>
        <w:rPr>
          <w:sz w:val="24"/>
          <w:szCs w:val="24"/>
        </w:rPr>
      </w:pPr>
    </w:p>
    <w:p w14:paraId="15B91340" w14:textId="77777777" w:rsidR="00757E4B" w:rsidRPr="00954512" w:rsidRDefault="00757E4B" w:rsidP="00954512">
      <w:pPr>
        <w:spacing w:line="480" w:lineRule="auto"/>
        <w:jc w:val="both"/>
        <w:rPr>
          <w:sz w:val="24"/>
          <w:szCs w:val="24"/>
        </w:rPr>
      </w:pPr>
    </w:p>
    <w:p w14:paraId="7824376B" w14:textId="77777777" w:rsidR="00757E4B" w:rsidRPr="00954512" w:rsidRDefault="00757E4B" w:rsidP="00954512">
      <w:pPr>
        <w:spacing w:line="480" w:lineRule="auto"/>
        <w:jc w:val="both"/>
        <w:rPr>
          <w:sz w:val="24"/>
          <w:szCs w:val="24"/>
        </w:rPr>
      </w:pPr>
    </w:p>
    <w:p w14:paraId="206EF46A" w14:textId="77777777" w:rsidR="00757E4B" w:rsidRPr="00954512" w:rsidRDefault="00757E4B" w:rsidP="00954512">
      <w:pPr>
        <w:spacing w:line="480" w:lineRule="auto"/>
        <w:jc w:val="both"/>
        <w:rPr>
          <w:sz w:val="24"/>
          <w:szCs w:val="24"/>
        </w:rPr>
      </w:pPr>
    </w:p>
    <w:p w14:paraId="5BA359C0" w14:textId="77777777" w:rsidR="00757E4B" w:rsidRPr="00954512" w:rsidRDefault="00757E4B" w:rsidP="00954512">
      <w:pPr>
        <w:spacing w:line="480" w:lineRule="auto"/>
        <w:jc w:val="both"/>
        <w:rPr>
          <w:sz w:val="24"/>
          <w:szCs w:val="24"/>
        </w:rPr>
      </w:pPr>
    </w:p>
    <w:p w14:paraId="584BECA3" w14:textId="77777777" w:rsidR="00954512" w:rsidRDefault="00954512">
      <w:pPr>
        <w:rPr>
          <w:b/>
          <w:bCs/>
          <w:sz w:val="24"/>
          <w:szCs w:val="24"/>
        </w:rPr>
      </w:pPr>
      <w:r>
        <w:rPr>
          <w:b/>
          <w:bCs/>
          <w:sz w:val="24"/>
          <w:szCs w:val="24"/>
        </w:rPr>
        <w:br w:type="page"/>
      </w:r>
    </w:p>
    <w:p w14:paraId="01EE1FFB" w14:textId="77777777" w:rsidR="00954512" w:rsidRDefault="001255FC" w:rsidP="00954512">
      <w:pPr>
        <w:pStyle w:val="Heading1"/>
        <w:spacing w:line="480" w:lineRule="auto"/>
        <w:jc w:val="center"/>
        <w:rPr>
          <w:b/>
          <w:bCs/>
          <w:color w:val="auto"/>
          <w:sz w:val="24"/>
          <w:szCs w:val="24"/>
        </w:rPr>
      </w:pPr>
      <w:r w:rsidRPr="00954512">
        <w:rPr>
          <w:b/>
          <w:bCs/>
          <w:color w:val="auto"/>
          <w:sz w:val="24"/>
          <w:szCs w:val="24"/>
        </w:rPr>
        <w:t>References.</w:t>
      </w:r>
    </w:p>
    <w:p w14:paraId="69C6550E" w14:textId="77777777" w:rsidR="00954512" w:rsidRPr="00954512" w:rsidRDefault="001255FC" w:rsidP="00954512">
      <w:pPr>
        <w:spacing w:line="480" w:lineRule="auto"/>
        <w:ind w:left="720" w:hanging="720"/>
        <w:rPr>
          <w:sz w:val="24"/>
          <w:szCs w:val="24"/>
          <w:shd w:val="clear" w:color="auto" w:fill="FFFFFF"/>
        </w:rPr>
      </w:pPr>
      <w:r w:rsidRPr="00954512">
        <w:rPr>
          <w:sz w:val="24"/>
          <w:szCs w:val="24"/>
          <w:shd w:val="clear" w:color="auto" w:fill="FFFFFF"/>
        </w:rPr>
        <w:t>Baker, S. R., Bloom, N., Davis, S. J., Kost, K., Sammon, M., &amp; Viratyosin, T. (2020). The unprecedented stock market reaction to COVID-19. </w:t>
      </w:r>
      <w:r w:rsidRPr="00954512">
        <w:rPr>
          <w:i/>
          <w:iCs/>
          <w:sz w:val="24"/>
          <w:szCs w:val="24"/>
          <w:shd w:val="clear" w:color="auto" w:fill="FFFFFF"/>
        </w:rPr>
        <w:t>The review of asset pricing studies</w:t>
      </w:r>
      <w:r w:rsidRPr="00954512">
        <w:rPr>
          <w:sz w:val="24"/>
          <w:szCs w:val="24"/>
          <w:shd w:val="clear" w:color="auto" w:fill="FFFFFF"/>
        </w:rPr>
        <w:t>, </w:t>
      </w:r>
      <w:r w:rsidRPr="00954512">
        <w:rPr>
          <w:i/>
          <w:iCs/>
          <w:sz w:val="24"/>
          <w:szCs w:val="24"/>
          <w:shd w:val="clear" w:color="auto" w:fill="FFFFFF"/>
        </w:rPr>
        <w:t>10</w:t>
      </w:r>
      <w:r w:rsidRPr="00954512">
        <w:rPr>
          <w:sz w:val="24"/>
          <w:szCs w:val="24"/>
          <w:shd w:val="clear" w:color="auto" w:fill="FFFFFF"/>
        </w:rPr>
        <w:t>(4), 742-758.</w:t>
      </w:r>
    </w:p>
    <w:p w14:paraId="0DC0AFA6" w14:textId="294E2EDD" w:rsidR="00954512" w:rsidRDefault="001255FC" w:rsidP="00954512">
      <w:pPr>
        <w:spacing w:line="480" w:lineRule="auto"/>
        <w:ind w:left="720" w:hanging="720"/>
        <w:rPr>
          <w:sz w:val="24"/>
          <w:szCs w:val="24"/>
          <w:shd w:val="clear" w:color="auto" w:fill="FFFFFF"/>
        </w:rPr>
      </w:pPr>
      <w:r w:rsidRPr="00954512">
        <w:rPr>
          <w:sz w:val="24"/>
          <w:szCs w:val="24"/>
          <w:shd w:val="clear" w:color="auto" w:fill="FFFFFF"/>
        </w:rPr>
        <w:t xml:space="preserve">Dicke, T. (2015). Waiting for the Flu: cognitive inertia and the Spanish influenza pandemic of 1918–19. </w:t>
      </w:r>
      <w:r w:rsidRPr="00954512">
        <w:rPr>
          <w:i/>
          <w:iCs/>
          <w:sz w:val="24"/>
          <w:szCs w:val="24"/>
          <w:shd w:val="clear" w:color="auto" w:fill="FFFFFF"/>
        </w:rPr>
        <w:t>Journal of the history of medicine and allied sciences</w:t>
      </w:r>
      <w:r w:rsidRPr="00954512">
        <w:rPr>
          <w:sz w:val="24"/>
          <w:szCs w:val="24"/>
          <w:shd w:val="clear" w:color="auto" w:fill="FFFFFF"/>
        </w:rPr>
        <w:t>, </w:t>
      </w:r>
      <w:r w:rsidRPr="00954512">
        <w:rPr>
          <w:i/>
          <w:iCs/>
          <w:sz w:val="24"/>
          <w:szCs w:val="24"/>
          <w:shd w:val="clear" w:color="auto" w:fill="FFFFFF"/>
        </w:rPr>
        <w:t>70</w:t>
      </w:r>
      <w:r w:rsidRPr="00954512">
        <w:rPr>
          <w:sz w:val="24"/>
          <w:szCs w:val="24"/>
          <w:shd w:val="clear" w:color="auto" w:fill="FFFFFF"/>
        </w:rPr>
        <w:t>(2), 195-217.</w:t>
      </w:r>
    </w:p>
    <w:p w14:paraId="37689DB7" w14:textId="0CBD9E04" w:rsidR="00954512" w:rsidRPr="00954512" w:rsidRDefault="00954512" w:rsidP="00954512">
      <w:pPr>
        <w:spacing w:line="480" w:lineRule="auto"/>
        <w:ind w:left="720" w:hanging="720"/>
        <w:rPr>
          <w:sz w:val="24"/>
          <w:szCs w:val="24"/>
          <w:shd w:val="clear" w:color="auto" w:fill="FFFFFF"/>
        </w:rPr>
      </w:pPr>
      <w:r w:rsidRPr="00954512">
        <w:rPr>
          <w:sz w:val="24"/>
          <w:szCs w:val="24"/>
          <w:shd w:val="clear" w:color="auto" w:fill="FFFFFF"/>
        </w:rPr>
        <w:t>Jones, M. M. (2010). The American Red Cross and local response to the 1918 influenza pandemic: a four-city case study. Public health reports, 125(3_suppl), 92-104.</w:t>
      </w:r>
    </w:p>
    <w:p w14:paraId="4BED11BE" w14:textId="77777777" w:rsidR="00954512" w:rsidRPr="00954512" w:rsidRDefault="001255FC" w:rsidP="00954512">
      <w:pPr>
        <w:spacing w:line="480" w:lineRule="auto"/>
        <w:ind w:left="720" w:hanging="720"/>
        <w:rPr>
          <w:sz w:val="24"/>
          <w:szCs w:val="24"/>
          <w:shd w:val="clear" w:color="auto" w:fill="FFFFFF"/>
        </w:rPr>
      </w:pPr>
      <w:r w:rsidRPr="00954512">
        <w:rPr>
          <w:sz w:val="24"/>
          <w:szCs w:val="24"/>
          <w:shd w:val="clear" w:color="auto" w:fill="FFFFFF"/>
        </w:rPr>
        <w:t>Martini, M., Gazzaniga, V., Bragazzi, N. L., &amp; Barberis, I. (2019). The Spanish Influenza Pandemic: a lesson from history 100 years after 1918. </w:t>
      </w:r>
      <w:r w:rsidRPr="00954512">
        <w:rPr>
          <w:i/>
          <w:iCs/>
          <w:sz w:val="24"/>
          <w:szCs w:val="24"/>
          <w:shd w:val="clear" w:color="auto" w:fill="FFFFFF"/>
        </w:rPr>
        <w:t>Journal of preventive medicine and hygiene</w:t>
      </w:r>
      <w:r w:rsidRPr="00954512">
        <w:rPr>
          <w:sz w:val="24"/>
          <w:szCs w:val="24"/>
          <w:shd w:val="clear" w:color="auto" w:fill="FFFFFF"/>
        </w:rPr>
        <w:t>, </w:t>
      </w:r>
      <w:r w:rsidRPr="00954512">
        <w:rPr>
          <w:i/>
          <w:iCs/>
          <w:sz w:val="24"/>
          <w:szCs w:val="24"/>
          <w:shd w:val="clear" w:color="auto" w:fill="FFFFFF"/>
        </w:rPr>
        <w:t>60</w:t>
      </w:r>
      <w:r w:rsidRPr="00954512">
        <w:rPr>
          <w:sz w:val="24"/>
          <w:szCs w:val="24"/>
          <w:shd w:val="clear" w:color="auto" w:fill="FFFFFF"/>
        </w:rPr>
        <w:t>(1), E64.</w:t>
      </w:r>
    </w:p>
    <w:p w14:paraId="771AF94E" w14:textId="2C9ADBC0" w:rsidR="007B283E" w:rsidRPr="00954512" w:rsidRDefault="001255FC" w:rsidP="00954512">
      <w:pPr>
        <w:spacing w:line="480" w:lineRule="auto"/>
        <w:ind w:left="720" w:hanging="720"/>
        <w:rPr>
          <w:b/>
          <w:bCs/>
          <w:sz w:val="24"/>
          <w:szCs w:val="24"/>
        </w:rPr>
      </w:pPr>
      <w:r w:rsidRPr="00954512">
        <w:rPr>
          <w:sz w:val="24"/>
          <w:szCs w:val="24"/>
          <w:shd w:val="clear" w:color="auto" w:fill="FFFFFF"/>
        </w:rPr>
        <w:t>Humphries, M. O. (2014). Paths of infection: The First World War and the origins of the 1918 influenza pandemic. </w:t>
      </w:r>
      <w:r w:rsidRPr="00954512">
        <w:rPr>
          <w:i/>
          <w:iCs/>
          <w:sz w:val="24"/>
          <w:szCs w:val="24"/>
          <w:shd w:val="clear" w:color="auto" w:fill="FFFFFF"/>
        </w:rPr>
        <w:t>War in History</w:t>
      </w:r>
      <w:r w:rsidRPr="00954512">
        <w:rPr>
          <w:sz w:val="24"/>
          <w:szCs w:val="24"/>
          <w:shd w:val="clear" w:color="auto" w:fill="FFFFFF"/>
        </w:rPr>
        <w:t>, </w:t>
      </w:r>
      <w:r w:rsidRPr="00954512">
        <w:rPr>
          <w:i/>
          <w:iCs/>
          <w:sz w:val="24"/>
          <w:szCs w:val="24"/>
          <w:shd w:val="clear" w:color="auto" w:fill="FFFFFF"/>
        </w:rPr>
        <w:t>21</w:t>
      </w:r>
      <w:r w:rsidRPr="00954512">
        <w:rPr>
          <w:sz w:val="24"/>
          <w:szCs w:val="24"/>
          <w:shd w:val="clear" w:color="auto" w:fill="FFFFFF"/>
        </w:rPr>
        <w:t>(1), 55-81.</w:t>
      </w:r>
    </w:p>
    <w:p w14:paraId="7A38C9F8" w14:textId="06EFD5DE" w:rsidR="00757E4B" w:rsidRPr="00954512" w:rsidRDefault="00757E4B" w:rsidP="00954512">
      <w:pPr>
        <w:spacing w:line="480" w:lineRule="auto"/>
        <w:ind w:left="720" w:hanging="720"/>
        <w:rPr>
          <w:sz w:val="24"/>
          <w:szCs w:val="24"/>
        </w:rPr>
      </w:pPr>
    </w:p>
    <w:sectPr w:rsidR="00757E4B" w:rsidRPr="0095451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19F0D4" w14:textId="77777777" w:rsidR="001255FC" w:rsidRDefault="001255FC" w:rsidP="00954512">
      <w:r>
        <w:separator/>
      </w:r>
    </w:p>
  </w:endnote>
  <w:endnote w:type="continuationSeparator" w:id="0">
    <w:p w14:paraId="6D4D4EC1" w14:textId="77777777" w:rsidR="001255FC" w:rsidRDefault="001255FC" w:rsidP="00954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13D20" w14:textId="77777777" w:rsidR="00BB4643" w:rsidRDefault="00BB46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FA463" w14:textId="77777777" w:rsidR="00BB4643" w:rsidRDefault="00BB46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6B349" w14:textId="77777777" w:rsidR="00BB4643" w:rsidRDefault="00BB4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A327F" w14:textId="77777777" w:rsidR="001255FC" w:rsidRDefault="001255FC" w:rsidP="00954512">
      <w:r>
        <w:separator/>
      </w:r>
    </w:p>
  </w:footnote>
  <w:footnote w:type="continuationSeparator" w:id="0">
    <w:p w14:paraId="497F9753" w14:textId="77777777" w:rsidR="001255FC" w:rsidRDefault="001255FC" w:rsidP="00954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16FAC" w14:textId="77777777" w:rsidR="00BB4643" w:rsidRDefault="00BB46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3492426"/>
      <w:docPartObj>
        <w:docPartGallery w:val="Page Numbers (Top of Page)"/>
        <w:docPartUnique/>
      </w:docPartObj>
    </w:sdtPr>
    <w:sdtEndPr>
      <w:rPr>
        <w:noProof/>
        <w:sz w:val="24"/>
        <w:szCs w:val="24"/>
      </w:rPr>
    </w:sdtEndPr>
    <w:sdtContent>
      <w:p w14:paraId="44DFEA8D" w14:textId="7D6207A6" w:rsidR="00954512" w:rsidRPr="00954512" w:rsidRDefault="00954512">
        <w:pPr>
          <w:pStyle w:val="Header"/>
          <w:jc w:val="right"/>
          <w:rPr>
            <w:sz w:val="24"/>
            <w:szCs w:val="24"/>
          </w:rPr>
        </w:pPr>
        <w:r w:rsidRPr="00954512">
          <w:rPr>
            <w:sz w:val="24"/>
            <w:szCs w:val="24"/>
          </w:rPr>
          <w:fldChar w:fldCharType="begin"/>
        </w:r>
        <w:r w:rsidRPr="00954512">
          <w:rPr>
            <w:sz w:val="24"/>
            <w:szCs w:val="24"/>
          </w:rPr>
          <w:instrText xml:space="preserve"> PAGE   \* MERGEFORMAT </w:instrText>
        </w:r>
        <w:r w:rsidRPr="00954512">
          <w:rPr>
            <w:sz w:val="24"/>
            <w:szCs w:val="24"/>
          </w:rPr>
          <w:fldChar w:fldCharType="separate"/>
        </w:r>
        <w:r w:rsidRPr="00954512">
          <w:rPr>
            <w:noProof/>
            <w:sz w:val="24"/>
            <w:szCs w:val="24"/>
          </w:rPr>
          <w:t>2</w:t>
        </w:r>
        <w:r w:rsidRPr="00954512">
          <w:rPr>
            <w:noProof/>
            <w:sz w:val="24"/>
            <w:szCs w:val="24"/>
          </w:rPr>
          <w:fldChar w:fldCharType="end"/>
        </w:r>
      </w:p>
    </w:sdtContent>
  </w:sdt>
  <w:p w14:paraId="51A4C86F" w14:textId="77777777" w:rsidR="00954512" w:rsidRDefault="009545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22488" w14:textId="77777777" w:rsidR="00BB4643" w:rsidRDefault="00BB46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0456F0"/>
    <w:multiLevelType w:val="hybridMultilevel"/>
    <w:tmpl w:val="F7E25292"/>
    <w:lvl w:ilvl="0" w:tplc="0AF830A8">
      <w:start w:val="1"/>
      <w:numFmt w:val="bullet"/>
      <w:lvlText w:val="●"/>
      <w:lvlJc w:val="left"/>
      <w:pPr>
        <w:ind w:left="720" w:hanging="360"/>
      </w:pPr>
    </w:lvl>
    <w:lvl w:ilvl="1" w:tplc="039499D8">
      <w:start w:val="1"/>
      <w:numFmt w:val="bullet"/>
      <w:lvlText w:val="○"/>
      <w:lvlJc w:val="left"/>
      <w:pPr>
        <w:ind w:left="1440" w:hanging="360"/>
      </w:pPr>
    </w:lvl>
    <w:lvl w:ilvl="2" w:tplc="9E18AB5A">
      <w:start w:val="1"/>
      <w:numFmt w:val="bullet"/>
      <w:lvlText w:val="■"/>
      <w:lvlJc w:val="left"/>
      <w:pPr>
        <w:ind w:left="2160" w:hanging="360"/>
      </w:pPr>
    </w:lvl>
    <w:lvl w:ilvl="3" w:tplc="23968BCC">
      <w:start w:val="1"/>
      <w:numFmt w:val="bullet"/>
      <w:lvlText w:val="●"/>
      <w:lvlJc w:val="left"/>
      <w:pPr>
        <w:ind w:left="2880" w:hanging="360"/>
      </w:pPr>
    </w:lvl>
    <w:lvl w:ilvl="4" w:tplc="B8A058B8">
      <w:start w:val="1"/>
      <w:numFmt w:val="bullet"/>
      <w:lvlText w:val="○"/>
      <w:lvlJc w:val="left"/>
      <w:pPr>
        <w:ind w:left="3600" w:hanging="360"/>
      </w:pPr>
    </w:lvl>
    <w:lvl w:ilvl="5" w:tplc="DFDEC980">
      <w:start w:val="1"/>
      <w:numFmt w:val="bullet"/>
      <w:lvlText w:val="■"/>
      <w:lvlJc w:val="left"/>
      <w:pPr>
        <w:ind w:left="4320" w:hanging="360"/>
      </w:pPr>
    </w:lvl>
    <w:lvl w:ilvl="6" w:tplc="B9B615C0">
      <w:start w:val="1"/>
      <w:numFmt w:val="bullet"/>
      <w:lvlText w:val="●"/>
      <w:lvlJc w:val="left"/>
      <w:pPr>
        <w:ind w:left="5040" w:hanging="360"/>
      </w:pPr>
    </w:lvl>
    <w:lvl w:ilvl="7" w:tplc="AFACD8FA">
      <w:start w:val="1"/>
      <w:numFmt w:val="bullet"/>
      <w:lvlText w:val="●"/>
      <w:lvlJc w:val="left"/>
      <w:pPr>
        <w:ind w:left="5760" w:hanging="360"/>
      </w:pPr>
    </w:lvl>
    <w:lvl w:ilvl="8" w:tplc="74A20FC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displayBackgroundShape/>
  <w:proofState w:spelling="clean"/>
  <w:revisionView w:inkAnnotation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E4B"/>
    <w:rsid w:val="001255FC"/>
    <w:rsid w:val="006105F4"/>
    <w:rsid w:val="00757E4B"/>
    <w:rsid w:val="007B283E"/>
    <w:rsid w:val="00945B49"/>
    <w:rsid w:val="00954512"/>
    <w:rsid w:val="00BB4643"/>
    <w:rsid w:val="00D74808"/>
    <w:rsid w:val="00D933A3"/>
    <w:rsid w:val="00FE1A2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6BBC6"/>
  <w15:docId w15:val="{F0055428-8883-4267-99C8-A1F101612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54512"/>
    <w:pPr>
      <w:tabs>
        <w:tab w:val="center" w:pos="4513"/>
        <w:tab w:val="right" w:pos="9026"/>
      </w:tabs>
    </w:pPr>
  </w:style>
  <w:style w:type="character" w:customStyle="1" w:styleId="HeaderChar">
    <w:name w:val="Header Char"/>
    <w:basedOn w:val="DefaultParagraphFont"/>
    <w:link w:val="Header"/>
    <w:uiPriority w:val="99"/>
    <w:rsid w:val="00954512"/>
  </w:style>
  <w:style w:type="paragraph" w:styleId="Footer">
    <w:name w:val="footer"/>
    <w:basedOn w:val="Normal"/>
    <w:link w:val="FooterChar"/>
    <w:uiPriority w:val="99"/>
    <w:unhideWhenUsed/>
    <w:rsid w:val="00954512"/>
    <w:pPr>
      <w:tabs>
        <w:tab w:val="center" w:pos="4513"/>
        <w:tab w:val="right" w:pos="9026"/>
      </w:tabs>
    </w:pPr>
  </w:style>
  <w:style w:type="character" w:customStyle="1" w:styleId="FooterChar">
    <w:name w:val="Footer Char"/>
    <w:basedOn w:val="DefaultParagraphFont"/>
    <w:link w:val="Footer"/>
    <w:uiPriority w:val="99"/>
    <w:rsid w:val="00954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munorujorum@gmail.com</cp:lastModifiedBy>
  <cp:revision>2</cp:revision>
  <dcterms:created xsi:type="dcterms:W3CDTF">2021-10-17T19:16:00Z</dcterms:created>
  <dcterms:modified xsi:type="dcterms:W3CDTF">2021-10-17T19:16:00Z</dcterms:modified>
</cp:coreProperties>
</file>